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DB50A5" w:rsidRPr="00DB50A5" w14:paraId="4CDFB69C" w14:textId="77777777" w:rsidTr="00DB50A5">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72"/>
            </w:tblGrid>
            <w:tr w:rsidR="00DB50A5" w:rsidRPr="00DB50A5" w14:paraId="1B90884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B50A5" w:rsidRPr="00DB50A5" w14:paraId="75C9434B" w14:textId="77777777" w:rsidTr="00DB50A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66"/>
                          <w:gridCol w:w="6"/>
                        </w:tblGrid>
                        <w:tr w:rsidR="00DB50A5" w:rsidRPr="00DB50A5" w14:paraId="2F229EA4" w14:textId="77777777">
                          <w:trPr>
                            <w:tblCellSpacing w:w="0" w:type="dxa"/>
                          </w:trPr>
                          <w:tc>
                            <w:tcPr>
                              <w:tcW w:w="9750" w:type="dxa"/>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6"/>
                              </w:tblGrid>
                              <w:tr w:rsidR="00DB50A5" w:rsidRPr="00DB50A5" w14:paraId="402F7B86"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66"/>
                                    </w:tblGrid>
                                    <w:tr w:rsidR="00DB50A5" w:rsidRPr="00DB50A5" w14:paraId="553ACB5F"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66"/>
                                          </w:tblGrid>
                                          <w:tr w:rsidR="00DB50A5" w:rsidRPr="00DB50A5" w14:paraId="5A8F5333" w14:textId="77777777">
                                            <w:trPr>
                                              <w:tblCellSpacing w:w="0" w:type="dxa"/>
                                            </w:trPr>
                                            <w:tc>
                                              <w:tcPr>
                                                <w:tcW w:w="0" w:type="auto"/>
                                                <w:tcMar>
                                                  <w:top w:w="300" w:type="dxa"/>
                                                  <w:left w:w="300" w:type="dxa"/>
                                                  <w:bottom w:w="30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66"/>
                                                </w:tblGrid>
                                                <w:tr w:rsidR="00DB50A5" w:rsidRPr="00DB50A5" w14:paraId="41425FDA"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466"/>
                                                      </w:tblGrid>
                                                      <w:tr w:rsidR="00DB50A5" w:rsidRPr="00DB50A5" w14:paraId="5C4ABBD4" w14:textId="77777777">
                                                        <w:trPr>
                                                          <w:tblCellSpacing w:w="0" w:type="dxa"/>
                                                          <w:jc w:val="center"/>
                                                        </w:trPr>
                                                        <w:tc>
                                                          <w:tcPr>
                                                            <w:tcW w:w="0" w:type="auto"/>
                                                            <w:vAlign w:val="center"/>
                                                            <w:hideMark/>
                                                          </w:tcPr>
                                                          <w:p w14:paraId="22F2EBB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r w:rsidRPr="00DB50A5">
                                                              <w:rPr>
                                                                <w:noProof/>
                                                              </w:rPr>
                                                              <w:drawing>
                                                                <wp:inline distT="0" distB="0" distL="0" distR="0" wp14:anchorId="3D6D56DD" wp14:editId="26AA2E1C">
                                                                  <wp:extent cx="5810250" cy="1066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1066800"/>
                                                                          </a:xfrm>
                                                                          <a:prstGeom prst="rect">
                                                                            <a:avLst/>
                                                                          </a:prstGeom>
                                                                          <a:noFill/>
                                                                          <a:ln>
                                                                            <a:noFill/>
                                                                          </a:ln>
                                                                        </pic:spPr>
                                                                      </pic:pic>
                                                                    </a:graphicData>
                                                                  </a:graphic>
                                                                </wp:inline>
                                                              </w:drawing>
                                                            </w:r>
                                                          </w:p>
                                                        </w:tc>
                                                      </w:tr>
                                                    </w:tbl>
                                                    <w:p w14:paraId="3A148BC2"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2A6407E3"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4777AD29"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4B98CE4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78A2A0D0"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c>
                            <w:tcPr>
                              <w:tcW w:w="150" w:type="dxa"/>
                              <w:shd w:val="clear" w:color="auto" w:fill="FFFFFF"/>
                              <w:vAlign w:val="center"/>
                              <w:hideMark/>
                            </w:tcPr>
                            <w:p w14:paraId="1200434D" w14:textId="77777777" w:rsidR="00DB50A5" w:rsidRPr="00DB50A5" w:rsidRDefault="00DB50A5" w:rsidP="00DB50A5">
                              <w:pPr>
                                <w:spacing w:after="0" w:line="240" w:lineRule="auto"/>
                                <w:jc w:val="center"/>
                                <w:rPr>
                                  <w:rFonts w:ascii="Times New Roman" w:eastAsia="Times New Roman" w:hAnsi="Times New Roman" w:cs="Times New Roman"/>
                                  <w:sz w:val="20"/>
                                  <w:szCs w:val="20"/>
                                  <w:lang w:eastAsia="fr-FR"/>
                                </w:rPr>
                              </w:pPr>
                            </w:p>
                          </w:tc>
                        </w:tr>
                      </w:tbl>
                      <w:p w14:paraId="5E2CBFDC"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r w:rsidR="00DB50A5" w:rsidRPr="00DB50A5" w14:paraId="591D2AF2"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4"/>
                          <w:gridCol w:w="8948"/>
                        </w:tblGrid>
                        <w:tr w:rsidR="00DB50A5" w:rsidRPr="00DB50A5" w14:paraId="4897E84F" w14:textId="77777777">
                          <w:trPr>
                            <w:tblCellSpacing w:w="0" w:type="dxa"/>
                          </w:trPr>
                          <w:tc>
                            <w:tcPr>
                              <w:tcW w:w="150" w:type="dxa"/>
                              <w:shd w:val="clear" w:color="auto" w:fill="FFFFFF"/>
                              <w:vAlign w:val="center"/>
                              <w:hideMark/>
                            </w:tcPr>
                            <w:p w14:paraId="4527956C" w14:textId="77777777" w:rsidR="00DB50A5" w:rsidRPr="00DB50A5" w:rsidRDefault="00DB50A5" w:rsidP="00DB50A5">
                              <w:pPr>
                                <w:spacing w:after="0" w:line="240" w:lineRule="auto"/>
                                <w:textAlignment w:val="baseline"/>
                                <w:rPr>
                                  <w:rFonts w:ascii="Times New Roman" w:eastAsia="Times New Roman" w:hAnsi="Times New Roman" w:cs="Times New Roman"/>
                                  <w:sz w:val="24"/>
                                  <w:szCs w:val="24"/>
                                  <w:lang w:eastAsia="fr-FR"/>
                                </w:rPr>
                              </w:pPr>
                            </w:p>
                          </w:tc>
                          <w:tc>
                            <w:tcPr>
                              <w:tcW w:w="9750" w:type="dxa"/>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948"/>
                              </w:tblGrid>
                              <w:tr w:rsidR="00DB50A5" w:rsidRPr="00DB50A5" w14:paraId="139F69B3"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948"/>
                                    </w:tblGrid>
                                    <w:tr w:rsidR="00DB50A5" w:rsidRPr="00DB50A5" w14:paraId="2FF1803A"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948"/>
                                          </w:tblGrid>
                                          <w:tr w:rsidR="00DB50A5" w:rsidRPr="00DB50A5" w14:paraId="78809427" w14:textId="77777777">
                                            <w:trPr>
                                              <w:tblCellSpacing w:w="0" w:type="dxa"/>
                                            </w:trPr>
                                            <w:tc>
                                              <w:tcPr>
                                                <w:tcW w:w="0" w:type="auto"/>
                                                <w:tcMar>
                                                  <w:top w:w="300" w:type="dxa"/>
                                                  <w:left w:w="300" w:type="dxa"/>
                                                  <w:bottom w:w="300" w:type="dxa"/>
                                                  <w:right w:w="3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48"/>
                                                </w:tblGrid>
                                                <w:tr w:rsidR="00DB50A5" w:rsidRPr="00DB50A5" w14:paraId="09AB8F4C" w14:textId="77777777">
                                                  <w:trPr>
                                                    <w:tblCellSpacing w:w="0" w:type="dxa"/>
                                                    <w:jc w:val="center"/>
                                                  </w:trPr>
                                                  <w:tc>
                                                    <w:tcPr>
                                                      <w:tcW w:w="0" w:type="auto"/>
                                                      <w:vAlign w:val="center"/>
                                                      <w:hideMark/>
                                                    </w:tcPr>
                                                    <w:p w14:paraId="1A9C2FC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Bonjour, </w:t>
                                                      </w:r>
                                                    </w:p>
                                                    <w:p w14:paraId="74E162B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5960C7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 xml:space="preserve">Le 13 avril 2026, l’ANFR a détecté un incident de sécurité et a constaté une divulgation de données personnelles issues du téléservice </w:t>
                                                      </w:r>
                                                      <w:proofErr w:type="spellStart"/>
                                                      <w:r w:rsidRPr="00DB50A5">
                                                        <w:rPr>
                                                          <w:rFonts w:ascii="inherit" w:eastAsia="Times New Roman" w:hAnsi="inherit" w:cs="Arial"/>
                                                          <w:color w:val="393939"/>
                                                          <w:sz w:val="21"/>
                                                          <w:szCs w:val="21"/>
                                                          <w:bdr w:val="none" w:sz="0" w:space="0" w:color="auto" w:frame="1"/>
                                                          <w:lang w:eastAsia="fr-FR"/>
                                                        </w:rPr>
                                                        <w:t>Radiomaritime</w:t>
                                                      </w:r>
                                                      <w:proofErr w:type="spellEnd"/>
                                                      <w:r w:rsidRPr="00DB50A5">
                                                        <w:rPr>
                                                          <w:rFonts w:ascii="inherit" w:eastAsia="Times New Roman" w:hAnsi="inherit" w:cs="Arial"/>
                                                          <w:color w:val="393939"/>
                                                          <w:sz w:val="21"/>
                                                          <w:szCs w:val="21"/>
                                                          <w:bdr w:val="none" w:sz="0" w:space="0" w:color="auto" w:frame="1"/>
                                                          <w:lang w:eastAsia="fr-FR"/>
                                                        </w:rPr>
                                                        <w:t>. Le téléservice a été fermé immédiatement.</w:t>
                                                      </w:r>
                                                    </w:p>
                                                    <w:p w14:paraId="6869B57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A631D2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 s’est-il passé ?  </w:t>
                                                      </w:r>
                                                    </w:p>
                                                    <w:p w14:paraId="07612361"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496F00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Notre service informatique a découvert un dysfonctionnement dans la gestion du téléservice, et a constaté des accès non autorisés aux données de l’ensemble des comptes utilisateur. Entre le 4 avril et le 10 avril, le service a été perturbé, et les données d’environ 330 000 usagers ont pu être extraites.</w:t>
                                                      </w:r>
                                                    </w:p>
                                                    <w:p w14:paraId="1D83AB7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De plus l’ANSSI (Agence Nationale de la Sécurité des Systèmes d’Information) a signalé une mise en vente de ces données avec publication en ligne d’un extrait.</w:t>
                                                      </w:r>
                                                    </w:p>
                                                    <w:p w14:paraId="5F56BDE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1DC09C3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Quelles données sont concernées ?</w:t>
                                                      </w:r>
                                                    </w:p>
                                                    <w:p w14:paraId="0136AF0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29E52B02"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Les données divulguées sont :</w:t>
                                                      </w:r>
                                                    </w:p>
                                                    <w:p w14:paraId="57AFBD8C"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Nom</w:t>
                                                      </w:r>
                                                    </w:p>
                                                    <w:p w14:paraId="0C0796B1"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Prénom</w:t>
                                                      </w:r>
                                                    </w:p>
                                                    <w:p w14:paraId="1A2CB29C"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Adresse postale (si renseignée)</w:t>
                                                      </w:r>
                                                    </w:p>
                                                    <w:p w14:paraId="3FCCC7E3"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Numéro(s) de téléphone (si renseigné)</w:t>
                                                      </w:r>
                                                    </w:p>
                                                    <w:p w14:paraId="2E1D38AA"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Courriel (si renseigné). </w:t>
                                                      </w:r>
                                                    </w:p>
                                                    <w:p w14:paraId="3213AC7F" w14:textId="77777777" w:rsidR="00DB50A5" w:rsidRPr="00DB50A5" w:rsidRDefault="00DB50A5" w:rsidP="00DB50A5">
                                                      <w:pPr>
                                                        <w:numPr>
                                                          <w:ilvl w:val="0"/>
                                                          <w:numId w:val="1"/>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Date de naissance (si renseignée)</w:t>
                                                      </w:r>
                                                    </w:p>
                                                    <w:p w14:paraId="37CD5CB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6A33B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Aucune donnée relative aux licences ou aux pièces jointes n’a été divulguée.</w:t>
                                                      </w:r>
                                                    </w:p>
                                                    <w:p w14:paraId="714DE00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3980E09"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lastRenderedPageBreak/>
                                                        <w:t>Quelles sont les mesures de sécurisation prises par l’ANFR ?</w:t>
                                                      </w:r>
                                                    </w:p>
                                                    <w:p w14:paraId="0B5F509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62A3FBE9"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Outre les mesures préventives déjà mises en œuvre (journalisation des connexions et évènements, pare-feu), l’ANFR a suspendu l’accès au téléservice et travaillé à l’identification précise des comptes affectés et des modalités de l’attaque.</w:t>
                                                      </w:r>
                                                    </w:p>
                                                    <w:p w14:paraId="4803FCE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0ADD6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Des correctifs de sécurité, en cours de déploiement, seront opérationnels dès la réouverture du service.</w:t>
                                                      </w:r>
                                                    </w:p>
                                                    <w:p w14:paraId="27DD637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33D5691"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Conformément à ses obligations réglementaires, l’ANFR a notifié l’incident à la Commission Nationale de l’Informatique et des Libertés (CNIL). Une plainte a été déposée auprès du Procureur de la République afin que les auteurs de ces faits puissent être identifiés et poursuivis.</w:t>
                                                      </w:r>
                                                    </w:p>
                                                    <w:p w14:paraId="132EFB6E"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C705D17"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Quels sont les risques pour vous et vos données ?</w:t>
                                                      </w:r>
                                                    </w:p>
                                                    <w:p w14:paraId="4DB002B0"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463F0C7"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Cet incident vous expose à des tentatives d’escroquerie via téléphone / e-mail / SMS, dont la crédibilité serait renforcée par les données individuelles collectées.</w:t>
                                                      </w:r>
                                                    </w:p>
                                                    <w:p w14:paraId="3918F023"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0CC153A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Ainsi, vous êtes susceptibles de recevoir dans les prochaines semaines des mails, appels ou sms vous incitant à communiquer d’autres informations confidentielles en retour. Ces tentatives peuvent faire apparaître des informations divulguées, notamment votre adresse ou votre date de naissance, afin de vous mettre en confiance.</w:t>
                                                      </w:r>
                                                    </w:p>
                                                    <w:p w14:paraId="6FB2AE1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34CE922F"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 xml:space="preserve">L’ANFR ne vous demandera jamais de communiquer par mail ou téléphone des informations tel qu’un Relevé d’Identité Bancaire (RIB), des identifiants d’espaces personnels hors périmètre comme celui de votre banque par exemple, ni les identifiants du téléservice </w:t>
                                                      </w:r>
                                                      <w:proofErr w:type="spellStart"/>
                                                      <w:r w:rsidRPr="00DB50A5">
                                                        <w:rPr>
                                                          <w:rFonts w:ascii="inherit" w:eastAsia="Times New Roman" w:hAnsi="inherit" w:cs="Arial"/>
                                                          <w:b/>
                                                          <w:bCs/>
                                                          <w:color w:val="393939"/>
                                                          <w:sz w:val="21"/>
                                                          <w:szCs w:val="21"/>
                                                          <w:bdr w:val="none" w:sz="0" w:space="0" w:color="auto" w:frame="1"/>
                                                          <w:lang w:eastAsia="fr-FR"/>
                                                        </w:rPr>
                                                        <w:t>Radiomaritime</w:t>
                                                      </w:r>
                                                      <w:proofErr w:type="spellEnd"/>
                                                      <w:r w:rsidRPr="00DB50A5">
                                                        <w:rPr>
                                                          <w:rFonts w:ascii="inherit" w:eastAsia="Times New Roman" w:hAnsi="inherit" w:cs="Arial"/>
                                                          <w:b/>
                                                          <w:bCs/>
                                                          <w:color w:val="393939"/>
                                                          <w:sz w:val="21"/>
                                                          <w:szCs w:val="21"/>
                                                          <w:bdr w:val="none" w:sz="0" w:space="0" w:color="auto" w:frame="1"/>
                                                          <w:lang w:eastAsia="fr-FR"/>
                                                        </w:rPr>
                                                        <w:t>.</w:t>
                                                      </w:r>
                                                    </w:p>
                                                    <w:p w14:paraId="73CAF475"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4C110F1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appelons à la plus grande vigilance sur ce point.  </w:t>
                                                      </w:r>
                                                    </w:p>
                                                    <w:p w14:paraId="457D8082"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7AB7E52C"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Quelles sont les précautions que vous pouvez prendre ?</w:t>
                                                      </w:r>
                                                    </w:p>
                                                    <w:p w14:paraId="7BDFC30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24A52C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lastRenderedPageBreak/>
                                                        <w:t>Si vous êtes contacté par mail, nous vous invitons à vérifier que l’adresse d’expédition contient bien la mention : @</w:t>
                                                      </w:r>
                                                      <w:hyperlink r:id="rId6" w:tooltip="http://anfr.fr" w:history="1">
                                                        <w:r w:rsidRPr="00DB50A5">
                                                          <w:rPr>
                                                            <w:rFonts w:ascii="inherit" w:eastAsia="Times New Roman" w:hAnsi="inherit" w:cs="Arial"/>
                                                            <w:color w:val="0000FF"/>
                                                            <w:sz w:val="21"/>
                                                            <w:szCs w:val="21"/>
                                                            <w:u w:val="single"/>
                                                            <w:bdr w:val="none" w:sz="0" w:space="0" w:color="auto" w:frame="1"/>
                                                            <w:lang w:eastAsia="fr-FR"/>
                                                          </w:rPr>
                                                          <w:t>anfr.fr</w:t>
                                                        </w:r>
                                                      </w:hyperlink>
                                                      <w:r w:rsidRPr="00DB50A5">
                                                        <w:rPr>
                                                          <w:rFonts w:ascii="inherit" w:eastAsia="Times New Roman" w:hAnsi="inherit" w:cs="Arial"/>
                                                          <w:color w:val="393939"/>
                                                          <w:sz w:val="21"/>
                                                          <w:szCs w:val="21"/>
                                                          <w:bdr w:val="none" w:sz="0" w:space="0" w:color="auto" w:frame="1"/>
                                                          <w:lang w:eastAsia="fr-FR"/>
                                                        </w:rPr>
                                                        <w:t>. Lors de vos démarches, vous pouvez solliciter les services afin d’authentifier un envoi mail qui vous paraîtrait suspect.</w:t>
                                                      </w:r>
                                                    </w:p>
                                                    <w:p w14:paraId="0856E87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recommandons d’utiliser les canaux dédiés que l’ANFR désigne sur son site Internet :</w:t>
                                                      </w:r>
                                                    </w:p>
                                                    <w:p w14:paraId="092142AD"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5C079CB8" w14:textId="77777777" w:rsidR="00DB50A5" w:rsidRPr="00DB50A5" w:rsidRDefault="00DB50A5" w:rsidP="00DB50A5">
                                                      <w:pPr>
                                                        <w:numPr>
                                                          <w:ilvl w:val="0"/>
                                                          <w:numId w:val="2"/>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color w:val="393939"/>
                                                          <w:sz w:val="21"/>
                                                          <w:szCs w:val="21"/>
                                                          <w:bdr w:val="none" w:sz="0" w:space="0" w:color="auto" w:frame="1"/>
                                                          <w:lang w:eastAsia="fr-FR"/>
                                                        </w:rPr>
                                                        <w:t>  </w:t>
                                                      </w:r>
                                                      <w:r w:rsidRPr="00DB50A5">
                                                        <w:rPr>
                                                          <w:rFonts w:ascii="inherit" w:eastAsia="Times New Roman" w:hAnsi="inherit" w:cs="Arial"/>
                                                          <w:b/>
                                                          <w:bCs/>
                                                          <w:color w:val="393939"/>
                                                          <w:sz w:val="21"/>
                                                          <w:szCs w:val="21"/>
                                                          <w:bdr w:val="none" w:sz="0" w:space="0" w:color="auto" w:frame="1"/>
                                                          <w:lang w:eastAsia="fr-FR"/>
                                                        </w:rPr>
                                                        <w:t>L’équipe de gestion du service :  </w:t>
                                                      </w:r>
                                                      <w:r w:rsidRPr="00DB50A5">
                                                        <w:rPr>
                                                          <w:rFonts w:ascii="inherit" w:eastAsia="Times New Roman" w:hAnsi="inherit" w:cs="Arial"/>
                                                          <w:color w:val="393939"/>
                                                          <w:sz w:val="21"/>
                                                          <w:szCs w:val="21"/>
                                                          <w:bdr w:val="none" w:sz="0" w:space="0" w:color="auto" w:frame="1"/>
                                                          <w:lang w:eastAsia="fr-FR"/>
                                                        </w:rPr>
                                                        <w:br/>
                                                      </w:r>
                                                      <w:hyperlink r:id="rId7" w:tooltip="https://www.anfr.fr/contact-anfr/questionnaire-radio-maritime-licence" w:history="1">
                                                        <w:r w:rsidRPr="00DB50A5">
                                                          <w:rPr>
                                                            <w:rFonts w:ascii="inherit" w:eastAsia="Times New Roman" w:hAnsi="inherit" w:cs="Arial"/>
                                                            <w:color w:val="0000FF"/>
                                                            <w:sz w:val="21"/>
                                                            <w:szCs w:val="21"/>
                                                            <w:u w:val="single"/>
                                                            <w:bdr w:val="none" w:sz="0" w:space="0" w:color="auto" w:frame="1"/>
                                                            <w:lang w:eastAsia="fr-FR"/>
                                                          </w:rPr>
                                                          <w:t>https://www.anfr.fr/contact-anfr/questionnaire-radio-maritime-licence</w:t>
                                                        </w:r>
                                                      </w:hyperlink>
                                                      <w:r w:rsidRPr="00DB50A5">
                                                        <w:rPr>
                                                          <w:rFonts w:ascii="inherit" w:eastAsia="Times New Roman" w:hAnsi="inherit" w:cs="Arial"/>
                                                          <w:color w:val="393939"/>
                                                          <w:sz w:val="21"/>
                                                          <w:szCs w:val="21"/>
                                                          <w:bdr w:val="none" w:sz="0" w:space="0" w:color="auto" w:frame="1"/>
                                                          <w:lang w:eastAsia="fr-FR"/>
                                                        </w:rPr>
                                                        <w:t>  </w:t>
                                                      </w:r>
                                                    </w:p>
                                                    <w:p w14:paraId="2B142FB0" w14:textId="77777777" w:rsidR="00DB50A5" w:rsidRPr="00DB50A5" w:rsidRDefault="00DB50A5" w:rsidP="00DB50A5">
                                                      <w:pPr>
                                                        <w:numPr>
                                                          <w:ilvl w:val="0"/>
                                                          <w:numId w:val="2"/>
                                                        </w:numPr>
                                                        <w:spacing w:beforeAutospacing="1" w:after="0" w:afterAutospacing="1" w:line="390" w:lineRule="atLeast"/>
                                                        <w:ind w:left="1020"/>
                                                        <w:rPr>
                                                          <w:rFonts w:ascii="Arial" w:eastAsia="Times New Roman" w:hAnsi="Arial" w:cs="Arial"/>
                                                          <w:color w:val="393939"/>
                                                          <w:sz w:val="21"/>
                                                          <w:szCs w:val="21"/>
                                                          <w:lang w:eastAsia="fr-FR"/>
                                                        </w:rPr>
                                                      </w:pPr>
                                                      <w:r w:rsidRPr="00DB50A5">
                                                        <w:rPr>
                                                          <w:rFonts w:ascii="inherit" w:eastAsia="Times New Roman" w:hAnsi="inherit" w:cs="Arial"/>
                                                          <w:b/>
                                                          <w:bCs/>
                                                          <w:color w:val="393939"/>
                                                          <w:sz w:val="21"/>
                                                          <w:szCs w:val="21"/>
                                                          <w:bdr w:val="none" w:sz="0" w:space="0" w:color="auto" w:frame="1"/>
                                                          <w:lang w:eastAsia="fr-FR"/>
                                                        </w:rPr>
                                                        <w:t>  Le délégué à la protection des données (</w:t>
                                                      </w:r>
                                                      <w:proofErr w:type="gramStart"/>
                                                      <w:r w:rsidRPr="00DB50A5">
                                                        <w:rPr>
                                                          <w:rFonts w:ascii="inherit" w:eastAsia="Times New Roman" w:hAnsi="inherit" w:cs="Arial"/>
                                                          <w:b/>
                                                          <w:bCs/>
                                                          <w:color w:val="393939"/>
                                                          <w:sz w:val="21"/>
                                                          <w:szCs w:val="21"/>
                                                          <w:bdr w:val="none" w:sz="0" w:space="0" w:color="auto" w:frame="1"/>
                                                          <w:lang w:eastAsia="fr-FR"/>
                                                        </w:rPr>
                                                        <w:t>DPO)  :</w:t>
                                                      </w:r>
                                                      <w:proofErr w:type="gramEnd"/>
                                                      <w:r w:rsidRPr="00DB50A5">
                                                        <w:rPr>
                                                          <w:rFonts w:ascii="inherit" w:eastAsia="Times New Roman" w:hAnsi="inherit" w:cs="Arial"/>
                                                          <w:b/>
                                                          <w:bCs/>
                                                          <w:color w:val="393939"/>
                                                          <w:sz w:val="21"/>
                                                          <w:szCs w:val="21"/>
                                                          <w:bdr w:val="none" w:sz="0" w:space="0" w:color="auto" w:frame="1"/>
                                                          <w:lang w:eastAsia="fr-FR"/>
                                                        </w:rPr>
                                                        <w:t> </w:t>
                                                      </w:r>
                                                      <w:r w:rsidRPr="00DB50A5">
                                                        <w:rPr>
                                                          <w:rFonts w:ascii="inherit" w:eastAsia="Times New Roman" w:hAnsi="inherit" w:cs="Arial"/>
                                                          <w:color w:val="393939"/>
                                                          <w:sz w:val="21"/>
                                                          <w:szCs w:val="21"/>
                                                          <w:bdr w:val="none" w:sz="0" w:space="0" w:color="auto" w:frame="1"/>
                                                          <w:lang w:eastAsia="fr-FR"/>
                                                        </w:rPr>
                                                        <w:br/>
                                                      </w:r>
                                                      <w:hyperlink r:id="rId8" w:tooltip="https://www.anfr.fr/contact/protection-des-donnees-personnelles-rgpd" w:history="1">
                                                        <w:r w:rsidRPr="00DB50A5">
                                                          <w:rPr>
                                                            <w:rFonts w:ascii="inherit" w:eastAsia="Times New Roman" w:hAnsi="inherit" w:cs="Arial"/>
                                                            <w:color w:val="0000FF"/>
                                                            <w:sz w:val="21"/>
                                                            <w:szCs w:val="21"/>
                                                            <w:u w:val="single"/>
                                                            <w:bdr w:val="none" w:sz="0" w:space="0" w:color="auto" w:frame="1"/>
                                                            <w:lang w:eastAsia="fr-FR"/>
                                                          </w:rPr>
                                                          <w:t>https://www.anfr.fr/contact/protection-des-donnees-personnelles-rgpd</w:t>
                                                        </w:r>
                                                      </w:hyperlink>
                                                      <w:r w:rsidRPr="00DB50A5">
                                                        <w:rPr>
                                                          <w:rFonts w:ascii="inherit" w:eastAsia="Times New Roman" w:hAnsi="inherit" w:cs="Arial"/>
                                                          <w:color w:val="393939"/>
                                                          <w:sz w:val="21"/>
                                                          <w:szCs w:val="21"/>
                                                          <w:bdr w:val="none" w:sz="0" w:space="0" w:color="auto" w:frame="1"/>
                                                          <w:lang w:eastAsia="fr-FR"/>
                                                        </w:rPr>
                                                        <w:t> </w:t>
                                                      </w:r>
                                                    </w:p>
                                                    <w:p w14:paraId="40763B8B"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12D71DB6"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color w:val="393939"/>
                                                          <w:sz w:val="21"/>
                                                          <w:szCs w:val="21"/>
                                                          <w:bdr w:val="none" w:sz="0" w:space="0" w:color="auto" w:frame="1"/>
                                                          <w:lang w:eastAsia="fr-FR"/>
                                                        </w:rPr>
                                                        <w:t>Nous vous assurons que la sécurité de vos données constitue notre priorité et restons à votre écoute.</w:t>
                                                      </w:r>
                                                    </w:p>
                                                    <w:p w14:paraId="619B9D44"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Arial" w:eastAsia="Times New Roman" w:hAnsi="Arial" w:cs="Arial"/>
                                                          <w:color w:val="393939"/>
                                                          <w:sz w:val="26"/>
                                                          <w:szCs w:val="26"/>
                                                          <w:lang w:eastAsia="fr-FR"/>
                                                        </w:rPr>
                                                        <w:t> </w:t>
                                                      </w:r>
                                                    </w:p>
                                                    <w:p w14:paraId="29ED24DA" w14:textId="77777777" w:rsidR="00DB50A5" w:rsidRPr="00DB50A5" w:rsidRDefault="00DB50A5" w:rsidP="00DB50A5">
                                                      <w:pPr>
                                                        <w:spacing w:after="0" w:line="390" w:lineRule="atLeast"/>
                                                        <w:rPr>
                                                          <w:rFonts w:ascii="Arial" w:eastAsia="Times New Roman" w:hAnsi="Arial" w:cs="Arial"/>
                                                          <w:color w:val="393939"/>
                                                          <w:sz w:val="26"/>
                                                          <w:szCs w:val="26"/>
                                                          <w:lang w:eastAsia="fr-FR"/>
                                                        </w:rPr>
                                                      </w:pPr>
                                                      <w:r w:rsidRPr="00DB50A5">
                                                        <w:rPr>
                                                          <w:rFonts w:ascii="inherit" w:eastAsia="Times New Roman" w:hAnsi="inherit" w:cs="Arial"/>
                                                          <w:b/>
                                                          <w:bCs/>
                                                          <w:color w:val="393939"/>
                                                          <w:sz w:val="21"/>
                                                          <w:szCs w:val="21"/>
                                                          <w:bdr w:val="none" w:sz="0" w:space="0" w:color="auto" w:frame="1"/>
                                                          <w:lang w:eastAsia="fr-FR"/>
                                                        </w:rPr>
                                                        <w:t xml:space="preserve">Le Service </w:t>
                                                      </w:r>
                                                      <w:proofErr w:type="spellStart"/>
                                                      <w:r w:rsidRPr="00DB50A5">
                                                        <w:rPr>
                                                          <w:rFonts w:ascii="inherit" w:eastAsia="Times New Roman" w:hAnsi="inherit" w:cs="Arial"/>
                                                          <w:b/>
                                                          <w:bCs/>
                                                          <w:color w:val="393939"/>
                                                          <w:sz w:val="21"/>
                                                          <w:szCs w:val="21"/>
                                                          <w:bdr w:val="none" w:sz="0" w:space="0" w:color="auto" w:frame="1"/>
                                                          <w:lang w:eastAsia="fr-FR"/>
                                                        </w:rPr>
                                                        <w:t>Radiomaritime</w:t>
                                                      </w:r>
                                                      <w:proofErr w:type="spellEnd"/>
                                                      <w:r w:rsidRPr="00DB50A5">
                                                        <w:rPr>
                                                          <w:rFonts w:ascii="inherit" w:eastAsia="Times New Roman" w:hAnsi="inherit" w:cs="Arial"/>
                                                          <w:b/>
                                                          <w:bCs/>
                                                          <w:color w:val="393939"/>
                                                          <w:sz w:val="21"/>
                                                          <w:szCs w:val="21"/>
                                                          <w:bdr w:val="none" w:sz="0" w:space="0" w:color="auto" w:frame="1"/>
                                                          <w:lang w:eastAsia="fr-FR"/>
                                                        </w:rPr>
                                                        <w:t xml:space="preserve"> de l’ANFR</w:t>
                                                      </w:r>
                                                    </w:p>
                                                  </w:tc>
                                                </w:tr>
                                              </w:tbl>
                                              <w:p w14:paraId="15A510C2"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77C0866A"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5ED10450"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65A6BC6F"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06B7ED74" w14:textId="77777777" w:rsidR="00DB50A5" w:rsidRPr="00DB50A5" w:rsidRDefault="00DB50A5" w:rsidP="00DB50A5">
                        <w:pPr>
                          <w:spacing w:after="0" w:line="240" w:lineRule="auto"/>
                          <w:rPr>
                            <w:rFonts w:ascii="Times New Roman" w:eastAsia="Times New Roman" w:hAnsi="Times New Roman" w:cs="Times New Roman"/>
                            <w:sz w:val="24"/>
                            <w:szCs w:val="24"/>
                            <w:lang w:eastAsia="fr-FR"/>
                          </w:rPr>
                        </w:pPr>
                      </w:p>
                    </w:tc>
                  </w:tr>
                </w:tbl>
                <w:p w14:paraId="4F055B68" w14:textId="77777777" w:rsidR="00DB50A5" w:rsidRPr="00DB50A5" w:rsidRDefault="00DB50A5" w:rsidP="00DB50A5">
                  <w:pPr>
                    <w:spacing w:after="0" w:line="240" w:lineRule="auto"/>
                    <w:textAlignment w:val="baseline"/>
                    <w:rPr>
                      <w:rFonts w:ascii="Times New Roman" w:eastAsia="Times New Roman" w:hAnsi="Times New Roman" w:cs="Times New Roman"/>
                      <w:sz w:val="24"/>
                      <w:szCs w:val="24"/>
                      <w:lang w:eastAsia="fr-FR"/>
                    </w:rPr>
                  </w:pPr>
                </w:p>
              </w:tc>
            </w:tr>
          </w:tbl>
          <w:p w14:paraId="12C93AC1" w14:textId="77777777" w:rsidR="00DB50A5" w:rsidRPr="00DB50A5" w:rsidRDefault="00DB50A5" w:rsidP="00DB50A5">
            <w:pPr>
              <w:spacing w:after="0" w:line="240" w:lineRule="auto"/>
              <w:jc w:val="center"/>
              <w:rPr>
                <w:rFonts w:ascii="Times New Roman" w:eastAsia="Times New Roman" w:hAnsi="Times New Roman" w:cs="Times New Roman"/>
                <w:sz w:val="24"/>
                <w:szCs w:val="24"/>
                <w:lang w:eastAsia="fr-FR"/>
              </w:rPr>
            </w:pPr>
          </w:p>
        </w:tc>
      </w:tr>
    </w:tbl>
    <w:p w14:paraId="17CFBEDE" w14:textId="77777777" w:rsidR="003469D1" w:rsidRPr="00DB50A5" w:rsidRDefault="003469D1" w:rsidP="00DB50A5"/>
    <w:sectPr w:rsidR="003469D1" w:rsidRPr="00DB5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A0A"/>
    <w:multiLevelType w:val="multilevel"/>
    <w:tmpl w:val="A86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24520"/>
    <w:multiLevelType w:val="multilevel"/>
    <w:tmpl w:val="1BF4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A5"/>
    <w:rsid w:val="003469D1"/>
    <w:rsid w:val="00397DD5"/>
    <w:rsid w:val="00DB5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EDA5"/>
  <w15:chartTrackingRefBased/>
  <w15:docId w15:val="{E648A4B6-E7F3-4D78-895D-C4E056F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2612">
      <w:bodyDiv w:val="1"/>
      <w:marLeft w:val="0"/>
      <w:marRight w:val="0"/>
      <w:marTop w:val="0"/>
      <w:marBottom w:val="0"/>
      <w:divBdr>
        <w:top w:val="none" w:sz="0" w:space="0" w:color="auto"/>
        <w:left w:val="none" w:sz="0" w:space="0" w:color="auto"/>
        <w:bottom w:val="none" w:sz="0" w:space="0" w:color="auto"/>
        <w:right w:val="none" w:sz="0" w:space="0" w:color="auto"/>
      </w:divBdr>
      <w:divsChild>
        <w:div w:id="34676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1457">
              <w:marLeft w:val="0"/>
              <w:marRight w:val="0"/>
              <w:marTop w:val="0"/>
              <w:marBottom w:val="0"/>
              <w:divBdr>
                <w:top w:val="none" w:sz="0" w:space="0" w:color="auto"/>
                <w:left w:val="none" w:sz="0" w:space="0" w:color="auto"/>
                <w:bottom w:val="none" w:sz="0" w:space="0" w:color="auto"/>
                <w:right w:val="none" w:sz="0" w:space="0" w:color="auto"/>
              </w:divBdr>
              <w:divsChild>
                <w:div w:id="381756113">
                  <w:marLeft w:val="0"/>
                  <w:marRight w:val="0"/>
                  <w:marTop w:val="0"/>
                  <w:marBottom w:val="0"/>
                  <w:divBdr>
                    <w:top w:val="none" w:sz="0" w:space="0" w:color="auto"/>
                    <w:left w:val="none" w:sz="0" w:space="0" w:color="auto"/>
                    <w:bottom w:val="none" w:sz="0" w:space="0" w:color="auto"/>
                    <w:right w:val="none" w:sz="0" w:space="0" w:color="auto"/>
                  </w:divBdr>
                  <w:divsChild>
                    <w:div w:id="387654886">
                      <w:marLeft w:val="0"/>
                      <w:marRight w:val="0"/>
                      <w:marTop w:val="0"/>
                      <w:marBottom w:val="0"/>
                      <w:divBdr>
                        <w:top w:val="none" w:sz="0" w:space="0" w:color="auto"/>
                        <w:left w:val="none" w:sz="0" w:space="0" w:color="auto"/>
                        <w:bottom w:val="none" w:sz="0" w:space="0" w:color="auto"/>
                        <w:right w:val="none" w:sz="0" w:space="0" w:color="auto"/>
                      </w:divBdr>
                      <w:divsChild>
                        <w:div w:id="1215432151">
                          <w:marLeft w:val="0"/>
                          <w:marRight w:val="0"/>
                          <w:marTop w:val="0"/>
                          <w:marBottom w:val="0"/>
                          <w:divBdr>
                            <w:top w:val="none" w:sz="0" w:space="0" w:color="auto"/>
                            <w:left w:val="none" w:sz="0" w:space="0" w:color="auto"/>
                            <w:bottom w:val="none" w:sz="0" w:space="0" w:color="auto"/>
                            <w:right w:val="none" w:sz="0" w:space="0" w:color="auto"/>
                          </w:divBdr>
                          <w:divsChild>
                            <w:div w:id="947128289">
                              <w:marLeft w:val="0"/>
                              <w:marRight w:val="0"/>
                              <w:marTop w:val="0"/>
                              <w:marBottom w:val="0"/>
                              <w:divBdr>
                                <w:top w:val="none" w:sz="0" w:space="0" w:color="auto"/>
                                <w:left w:val="none" w:sz="0" w:space="0" w:color="auto"/>
                                <w:bottom w:val="none" w:sz="0" w:space="0" w:color="auto"/>
                                <w:right w:val="none" w:sz="0" w:space="0" w:color="auto"/>
                              </w:divBdr>
                              <w:divsChild>
                                <w:div w:id="1931235719">
                                  <w:marLeft w:val="0"/>
                                  <w:marRight w:val="0"/>
                                  <w:marTop w:val="0"/>
                                  <w:marBottom w:val="0"/>
                                  <w:divBdr>
                                    <w:top w:val="none" w:sz="0" w:space="0" w:color="auto"/>
                                    <w:left w:val="none" w:sz="0" w:space="0" w:color="auto"/>
                                    <w:bottom w:val="none" w:sz="0" w:space="0" w:color="auto"/>
                                    <w:right w:val="none" w:sz="0" w:space="0" w:color="auto"/>
                                  </w:divBdr>
                                  <w:divsChild>
                                    <w:div w:id="19239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r.fr/contact/protection-des-donnees-personnelles-rgpd" TargetMode="External"/><Relationship Id="rId3" Type="http://schemas.openxmlformats.org/officeDocument/2006/relationships/settings" Target="settings.xml"/><Relationship Id="rId7" Type="http://schemas.openxmlformats.org/officeDocument/2006/relationships/hyperlink" Target="https://www.anfr.fr/contact-anfr/questionnaire-radio-maritime-li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fr.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3171</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2026-04-27T10:16:00Z</dcterms:created>
  <dcterms:modified xsi:type="dcterms:W3CDTF">2026-04-27T10:16:00Z</dcterms:modified>
</cp:coreProperties>
</file>